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E5" w:rsidRDefault="000304E5" w:rsidP="001D449F">
      <w:pPr>
        <w:pStyle w:val="1"/>
        <w:jc w:val="both"/>
      </w:pPr>
    </w:p>
    <w:p w:rsidR="000304E5" w:rsidRDefault="000304E5"/>
    <w:p w:rsidR="000304E5" w:rsidRDefault="008A4CDD">
      <w:r>
        <w:t>Основные понятия и термины:</w:t>
      </w:r>
    </w:p>
    <w:p w:rsidR="000304E5" w:rsidRDefault="008A4CDD">
      <w:r>
        <w:rPr>
          <w:rStyle w:val="a3"/>
        </w:rPr>
        <w:t>медицинская помощь</w:t>
      </w:r>
      <w: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0304E5" w:rsidRDefault="008A4CDD">
      <w:r w:rsidRPr="001D449F">
        <w:rPr>
          <w:rStyle w:val="a3"/>
          <w:highlight w:val="yellow"/>
        </w:rPr>
        <w:t>случай оказания медицинской помощи</w:t>
      </w:r>
      <w:r w:rsidRPr="001D449F">
        <w:rPr>
          <w:highlight w:val="yellow"/>
        </w:rPr>
        <w:t xml:space="preserve"> - медицинская услуга или совокупность медицинских услуг, оказанных лицам, застрахованным: по </w:t>
      </w:r>
      <w:proofErr w:type="spellStart"/>
      <w:r w:rsidRPr="001D449F">
        <w:rPr>
          <w:highlight w:val="yellow"/>
        </w:rPr>
        <w:t>ОМС</w:t>
      </w:r>
      <w:proofErr w:type="spellEnd"/>
      <w:r w:rsidRPr="001D449F">
        <w:rPr>
          <w:highlight w:val="yellow"/>
        </w:rPr>
        <w:t>, в связи с наступлением страхового случая в пределах одного вида условий оказания медицинской помощи (амбулаторно, стационарно, в условиях дневного стационара, вне медицинской организации);</w:t>
      </w:r>
    </w:p>
    <w:p w:rsidR="000304E5" w:rsidRDefault="008A4CDD">
      <w:r>
        <w:rPr>
          <w:rStyle w:val="a3"/>
        </w:rPr>
        <w:t>случай госпитализации</w:t>
      </w:r>
      <w:r>
        <w:t xml:space="preserve"> - случай лечения в стационарных условиях, и (или) условиях дневного стационара, в рамках которого осуществляется ведение одной медицинской карты стационарного больного, являющийся единицей объема медицинской помощи в рамках реализации территориальной программы обязательного медицинского страхования;</w:t>
      </w:r>
    </w:p>
    <w:p w:rsidR="000304E5" w:rsidRDefault="008A4CDD">
      <w:r>
        <w:rPr>
          <w:rStyle w:val="a3"/>
        </w:rPr>
        <w:t>клинико-статистическая группа заболеваний (</w:t>
      </w:r>
      <w:proofErr w:type="spellStart"/>
      <w:r>
        <w:rPr>
          <w:rStyle w:val="a3"/>
        </w:rPr>
        <w:t>КСГ</w:t>
      </w:r>
      <w:proofErr w:type="spellEnd"/>
      <w:r>
        <w:rPr>
          <w:rStyle w:val="a3"/>
        </w:rPr>
        <w:t>)</w:t>
      </w:r>
      <w:r>
        <w:t xml:space="preserve"> - группа заболеваний, относящихся к одному профилю медицинской помощи и сходных по используемым методам диагностики и лечения, пациентов и средней ресурсоемкости (стоимость, структура затрат и набор используемых ресурсов);</w:t>
      </w:r>
    </w:p>
    <w:p w:rsidR="000304E5" w:rsidRDefault="008A4CDD">
      <w:r>
        <w:rPr>
          <w:rStyle w:val="a3"/>
        </w:rPr>
        <w:t xml:space="preserve">оплата медицинской помощи по </w:t>
      </w:r>
      <w:proofErr w:type="spellStart"/>
      <w:r>
        <w:rPr>
          <w:rStyle w:val="a3"/>
        </w:rPr>
        <w:t>КСГ</w:t>
      </w:r>
      <w:proofErr w:type="spellEnd"/>
      <w:r>
        <w:t xml:space="preserve"> - оплата медицинской помощи по тарифу, рассчитанному исходя из установленных: базовой ставки, коэффициента </w:t>
      </w:r>
      <w:proofErr w:type="spellStart"/>
      <w:r>
        <w:t>затратоемкости</w:t>
      </w:r>
      <w:proofErr w:type="spellEnd"/>
      <w:r>
        <w:t xml:space="preserve"> и поправочных коэффициентов;</w:t>
      </w:r>
    </w:p>
    <w:p w:rsidR="000304E5" w:rsidRDefault="008A4CDD">
      <w:r>
        <w:rPr>
          <w:rStyle w:val="a3"/>
        </w:rPr>
        <w:t>базовая ставка</w:t>
      </w:r>
      <w:r>
        <w:t xml:space="preserve"> - средний объем финансового обеспечения медицинской помощи в расчете на одного пролеченного пациента, определенный исходя из нормативов объемов медицинской помощи и нормативов финансовых затрат на единицу объема медицинской помощи, установленных территориальной программой государственных гарантий, с учетом других параметров, предусмотренных методическими рекомендациями по способам, оплаты медицинской помощи за счет средств </w:t>
      </w:r>
      <w:proofErr w:type="spellStart"/>
      <w:r>
        <w:t>ОМС</w:t>
      </w:r>
      <w:proofErr w:type="spellEnd"/>
      <w:r>
        <w:t xml:space="preserve"> (средняя стоимость законченного случая лечения);</w:t>
      </w:r>
    </w:p>
    <w:p w:rsidR="000304E5" w:rsidRDefault="008A4CDD">
      <w:r w:rsidRPr="001D449F">
        <w:rPr>
          <w:rStyle w:val="a3"/>
          <w:highlight w:val="yellow"/>
        </w:rPr>
        <w:t xml:space="preserve">коэффициент относительной </w:t>
      </w:r>
      <w:proofErr w:type="spellStart"/>
      <w:r w:rsidRPr="001D449F">
        <w:rPr>
          <w:rStyle w:val="a3"/>
          <w:highlight w:val="yellow"/>
        </w:rPr>
        <w:t>затратоемкости</w:t>
      </w:r>
      <w:proofErr w:type="spellEnd"/>
      <w:r w:rsidRPr="001D449F">
        <w:rPr>
          <w:highlight w:val="yellow"/>
        </w:rPr>
        <w:t xml:space="preserve"> - коэффициент, отражающий отношение стоимости конкретной клинико-статистической группы заболеваний или клинико-профильной группы заболеваний к среднему объему финансового обеспечения медицинской помощи: в расчете на одного пролеченного пациента (базовой ставке);</w:t>
      </w:r>
      <w:bookmarkStart w:id="0" w:name="_GoBack"/>
      <w:bookmarkEnd w:id="0"/>
    </w:p>
    <w:p w:rsidR="000304E5" w:rsidRDefault="008A4CDD">
      <w:r>
        <w:rPr>
          <w:rStyle w:val="a3"/>
        </w:rPr>
        <w:t>коэффициент дифференциации</w:t>
      </w:r>
      <w:r>
        <w:t xml:space="preserve"> - устанавливаемый на федеральном уровне коэффициент, отражающий более высокий уровень заработной платы;</w:t>
      </w:r>
    </w:p>
    <w:p w:rsidR="000304E5" w:rsidRDefault="008A4CDD">
      <w:r>
        <w:rPr>
          <w:rStyle w:val="a3"/>
        </w:rPr>
        <w:t>поправочные коэффициенты</w:t>
      </w:r>
      <w:r>
        <w:t xml:space="preserve"> - устанавливаемые тарифным соглашением: управленческий коэффициент, коэффициент уровня (подуровня) оказания медицинской помощи, коэффициент сложности лечения пациентов;</w:t>
      </w:r>
    </w:p>
    <w:p w:rsidR="000304E5" w:rsidRDefault="008A4CDD">
      <w:r>
        <w:rPr>
          <w:rStyle w:val="a3"/>
        </w:rPr>
        <w:t>управленческий коэффициент</w:t>
      </w:r>
      <w:r>
        <w:t xml:space="preserve"> - устанавливаемый на территориальном уровне коэффициент, позволяющий корректировать тариф клинико-статистической группы с целью управления структурой госпитализаций и (или) учета региональных особенностей оказания медицинской помощи по конкретной клинико-статистической группе;</w:t>
      </w:r>
    </w:p>
    <w:p w:rsidR="000304E5" w:rsidRDefault="008A4CDD">
      <w:r>
        <w:rPr>
          <w:rStyle w:val="a3"/>
        </w:rPr>
        <w:t>коэффициент уровня оказания медицинской помощи</w:t>
      </w:r>
      <w:r>
        <w:t xml:space="preserve"> - устанавливаемый на территориальном уровне коэффициент, позволяющий учесть различия в размерах, расходов в зависимости от уровня оказания медицинской помощи в стационарных условиях и. в условиях дневного стационара;</w:t>
      </w:r>
    </w:p>
    <w:sectPr w:rsidR="000304E5" w:rsidSect="001D449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DD"/>
    <w:rsid w:val="000304E5"/>
    <w:rsid w:val="001D449F"/>
    <w:rsid w:val="007C0833"/>
    <w:rsid w:val="008A4CDD"/>
    <w:rsid w:val="00E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1F8B20-71A7-4398-A4FB-365DAE7C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4</cp:revision>
  <dcterms:created xsi:type="dcterms:W3CDTF">2020-03-12T10:25:00Z</dcterms:created>
  <dcterms:modified xsi:type="dcterms:W3CDTF">2020-03-16T04:56:00Z</dcterms:modified>
</cp:coreProperties>
</file>